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2F29236E" w:rsidR="00113D09" w:rsidRPr="005A745B" w:rsidRDefault="00113D09" w:rsidP="00113D09">
      <w:pPr>
        <w:suppressAutoHyphens/>
        <w:jc w:val="both"/>
        <w:rPr>
          <w:szCs w:val="22"/>
          <w:lang w:eastAsia="ar-SA"/>
        </w:rPr>
      </w:pPr>
      <w:r w:rsidRPr="005A745B">
        <w:rPr>
          <w:szCs w:val="22"/>
          <w:lang w:eastAsia="ar-SA"/>
        </w:rPr>
        <w:t xml:space="preserve">Datum: </w:t>
      </w:r>
      <w:r w:rsidR="00EC4434">
        <w:rPr>
          <w:szCs w:val="22"/>
          <w:highlight w:val="yellow"/>
          <w:lang w:eastAsia="ar-SA"/>
        </w:rPr>
        <w:t>16.3</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53078AD4"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EC4434">
        <w:rPr>
          <w:rFonts w:cs="Arial"/>
          <w:b/>
          <w:szCs w:val="22"/>
          <w:highlight w:val="yellow"/>
          <w:lang w:eastAsia="ar-SA"/>
        </w:rPr>
        <w:t>ZŠ – 217</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7B9636C5" w:rsidR="00113D09" w:rsidRPr="005A745B" w:rsidRDefault="00113D09" w:rsidP="00EC4434">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EC4434" w:rsidRPr="00EC4434">
        <w:rPr>
          <w:rFonts w:cs="Arial"/>
          <w:b/>
          <w:szCs w:val="22"/>
          <w:lang w:eastAsia="ar-SA"/>
        </w:rPr>
        <w:t>Nabava i isporuka potrošnog materijala za održavanje zgrada, objekata i opreme</w:t>
      </w:r>
    </w:p>
    <w:p w14:paraId="058BC132" w14:textId="413B7634"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EC4434">
        <w:rPr>
          <w:rFonts w:cs="Arial"/>
          <w:b/>
          <w:szCs w:val="22"/>
          <w:lang w:eastAsia="ar-SA"/>
        </w:rPr>
        <w:t>18.3</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197E79C0"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EC4434">
        <w:rPr>
          <w:rFonts w:cs="Arial"/>
          <w:szCs w:val="22"/>
          <w:lang w:eastAsia="ar-SA"/>
        </w:rPr>
        <w:t>MILJENKO L</w:t>
      </w:r>
      <w:bookmarkStart w:id="0" w:name="_GoBack"/>
      <w:bookmarkEnd w:id="0"/>
      <w:r w:rsidR="00EC4434">
        <w:rPr>
          <w:rFonts w:cs="Arial"/>
          <w:szCs w:val="22"/>
          <w:lang w:eastAsia="ar-SA"/>
        </w:rPr>
        <w:t>IVAKOVIĆ,099-3111-278</w:t>
      </w:r>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A4AB" w14:textId="77777777" w:rsidR="00AA4EE5" w:rsidRDefault="00AA4EE5">
      <w:r>
        <w:separator/>
      </w:r>
    </w:p>
  </w:endnote>
  <w:endnote w:type="continuationSeparator" w:id="0">
    <w:p w14:paraId="0ACF172C" w14:textId="77777777" w:rsidR="00AA4EE5" w:rsidRDefault="00AA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43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F1B7B" w14:textId="77777777" w:rsidR="00AA4EE5" w:rsidRDefault="00AA4EE5">
      <w:r>
        <w:separator/>
      </w:r>
    </w:p>
  </w:footnote>
  <w:footnote w:type="continuationSeparator" w:id="0">
    <w:p w14:paraId="79F080A1" w14:textId="77777777" w:rsidR="00AA4EE5" w:rsidRDefault="00AA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AA4EE5">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A4EE5"/>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4434"/>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5EA4-AFD2-4C10-AAE6-5634F4C7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2020-03-16T06:23:00Z</dcterms:modified>
</cp:coreProperties>
</file>