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30" w:rsidRPr="00F14618" w:rsidRDefault="00BE7E3D" w:rsidP="00F511C1">
      <w:pPr>
        <w:spacing w:before="72" w:line="321" w:lineRule="auto"/>
        <w:jc w:val="center"/>
        <w:rPr>
          <w:rFonts w:asciiTheme="minorHAnsi" w:hAnsiTheme="minorHAnsi" w:cs="Arial"/>
          <w:b/>
          <w:color w:val="000000"/>
          <w:spacing w:val="-4"/>
          <w:sz w:val="22"/>
          <w:szCs w:val="22"/>
        </w:rPr>
      </w:pPr>
      <w:r w:rsidRPr="00F14618">
        <w:rPr>
          <w:rFonts w:asciiTheme="minorHAnsi" w:hAnsiTheme="minorHAnsi" w:cs="Arial"/>
          <w:b/>
          <w:color w:val="000000"/>
          <w:sz w:val="22"/>
          <w:szCs w:val="22"/>
        </w:rPr>
        <w:t xml:space="preserve">TROŠKOVNIK </w:t>
      </w:r>
      <w:r w:rsidRPr="00F14618">
        <w:rPr>
          <w:rFonts w:asciiTheme="minorHAnsi" w:hAnsiTheme="minorHAnsi" w:cs="Arial"/>
          <w:b/>
          <w:color w:val="000000"/>
          <w:sz w:val="22"/>
          <w:szCs w:val="22"/>
        </w:rPr>
        <w:br/>
      </w:r>
      <w:r w:rsidR="00316B19">
        <w:rPr>
          <w:rFonts w:asciiTheme="minorHAnsi" w:hAnsiTheme="minorHAnsi" w:cs="Arial"/>
          <w:b/>
          <w:color w:val="000000"/>
          <w:spacing w:val="-4"/>
          <w:sz w:val="22"/>
          <w:szCs w:val="22"/>
        </w:rPr>
        <w:t>POPRAVAK KROVA</w:t>
      </w:r>
      <w:r w:rsidR="00F93D6B" w:rsidRPr="00F93D6B">
        <w:rPr>
          <w:rFonts w:asciiTheme="minorHAnsi" w:hAnsiTheme="minorHAnsi" w:cs="Arial"/>
          <w:b/>
          <w:color w:val="000000"/>
          <w:spacing w:val="-4"/>
          <w:sz w:val="22"/>
          <w:szCs w:val="22"/>
        </w:rPr>
        <w:t xml:space="preserve"> IZNAD BLAGOVAONE </w:t>
      </w:r>
      <w:r w:rsidR="00316B19">
        <w:rPr>
          <w:rFonts w:asciiTheme="minorHAnsi" w:hAnsiTheme="minorHAnsi" w:cs="Arial"/>
          <w:b/>
          <w:color w:val="000000"/>
          <w:spacing w:val="-4"/>
          <w:sz w:val="22"/>
          <w:szCs w:val="22"/>
        </w:rPr>
        <w:t xml:space="preserve">COKP </w:t>
      </w:r>
      <w:r w:rsidR="00F93D6B" w:rsidRPr="00F93D6B">
        <w:rPr>
          <w:rFonts w:asciiTheme="minorHAnsi" w:hAnsiTheme="minorHAnsi" w:cs="Arial"/>
          <w:b/>
          <w:color w:val="000000"/>
          <w:spacing w:val="-4"/>
          <w:sz w:val="22"/>
          <w:szCs w:val="22"/>
        </w:rPr>
        <w:t>IVANJA REKA</w:t>
      </w:r>
    </w:p>
    <w:p w:rsidR="00316B19" w:rsidRDefault="00316B19" w:rsidP="00316B19">
      <w:pPr>
        <w:spacing w:before="72" w:line="321" w:lineRule="auto"/>
        <w:rPr>
          <w:rFonts w:asciiTheme="minorHAnsi" w:hAnsiTheme="minorHAnsi" w:cs="Arial"/>
          <w:b/>
          <w:color w:val="000000"/>
          <w:spacing w:val="-4"/>
          <w:sz w:val="22"/>
          <w:szCs w:val="22"/>
        </w:rPr>
      </w:pPr>
    </w:p>
    <w:p w:rsidR="00316B19" w:rsidRPr="00316B19" w:rsidRDefault="00316B19" w:rsidP="00316B19">
      <w:pPr>
        <w:spacing w:before="72" w:line="321" w:lineRule="auto"/>
        <w:rPr>
          <w:rFonts w:asciiTheme="minorHAnsi" w:hAnsiTheme="minorHAnsi" w:cs="Arial"/>
          <w:b/>
          <w:i/>
          <w:color w:val="000000"/>
          <w:sz w:val="22"/>
          <w:szCs w:val="22"/>
        </w:rPr>
      </w:pPr>
      <w:r w:rsidRPr="00316B19">
        <w:rPr>
          <w:rFonts w:asciiTheme="minorHAnsi" w:hAnsiTheme="minorHAnsi" w:cs="Arial"/>
          <w:b/>
          <w:color w:val="000000"/>
          <w:sz w:val="22"/>
          <w:szCs w:val="22"/>
        </w:rPr>
        <w:t>NAPOMENE</w:t>
      </w:r>
      <w:r>
        <w:rPr>
          <w:rFonts w:asciiTheme="minorHAnsi" w:hAnsiTheme="minorHAnsi" w:cs="Arial"/>
          <w:b/>
          <w:color w:val="000000"/>
          <w:sz w:val="22"/>
          <w:szCs w:val="22"/>
        </w:rPr>
        <w:t>:</w:t>
      </w:r>
    </w:p>
    <w:p w:rsidR="00316B19" w:rsidRDefault="00316B19" w:rsidP="00316B19">
      <w:pPr>
        <w:spacing w:before="72" w:after="144"/>
        <w:ind w:left="142" w:right="49" w:hanging="142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-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316B19">
        <w:rPr>
          <w:rFonts w:asciiTheme="minorHAnsi" w:hAnsiTheme="minorHAnsi" w:cs="Arial"/>
          <w:color w:val="000000"/>
          <w:sz w:val="22"/>
          <w:szCs w:val="22"/>
        </w:rPr>
        <w:t>Mobilizacija opreme za radove u obvezi je i na trošak Izvođača (ukalkulirano u ponudi).</w:t>
      </w:r>
    </w:p>
    <w:p w:rsidR="00316B19" w:rsidRDefault="00316B19" w:rsidP="00316B19">
      <w:pPr>
        <w:spacing w:before="72" w:after="144"/>
        <w:ind w:left="142" w:right="49" w:hanging="142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-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316B19">
        <w:rPr>
          <w:rFonts w:asciiTheme="minorHAnsi" w:hAnsiTheme="minorHAnsi" w:cs="Arial"/>
          <w:color w:val="000000"/>
          <w:sz w:val="22"/>
          <w:szCs w:val="22"/>
        </w:rPr>
        <w:t>Potrebne skele i sl. u obvezi su i na trošak Izvođača (ukalkulirano u cijene u ponudi).</w:t>
      </w:r>
    </w:p>
    <w:p w:rsidR="00316B19" w:rsidRDefault="00316B19" w:rsidP="00316B19">
      <w:pPr>
        <w:spacing w:before="72" w:after="144"/>
        <w:ind w:left="142" w:right="49" w:hanging="142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-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316B19">
        <w:rPr>
          <w:rFonts w:asciiTheme="minorHAnsi" w:hAnsiTheme="minorHAnsi" w:cs="Arial"/>
          <w:color w:val="000000"/>
          <w:sz w:val="22"/>
          <w:szCs w:val="22"/>
        </w:rPr>
        <w:t>Čišćenje radilišta u tijeku radova, kao i konačno čišćenje u obvezi je i na trošak Izvođača (ukalkulirano u cijene u ponudi).</w:t>
      </w:r>
    </w:p>
    <w:p w:rsidR="00316B19" w:rsidRPr="000D4A7D" w:rsidRDefault="00316B19" w:rsidP="00316B19">
      <w:pPr>
        <w:spacing w:before="72" w:after="144"/>
        <w:ind w:left="142" w:right="49" w:hanging="142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-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Pr="000D4A7D">
        <w:rPr>
          <w:rFonts w:asciiTheme="minorHAnsi" w:hAnsiTheme="minorHAnsi" w:cs="Arial"/>
          <w:b/>
          <w:color w:val="000000"/>
          <w:sz w:val="22"/>
          <w:szCs w:val="22"/>
        </w:rPr>
        <w:t>Izvođač je dužan prije ugradnje materijala, njihovu kvalitetu, odnosno jednakovrijednost dokazati atestima dostavljenim Naručitelju.</w:t>
      </w:r>
    </w:p>
    <w:p w:rsidR="00316B19" w:rsidRPr="00316B19" w:rsidRDefault="00316B19" w:rsidP="00316B19">
      <w:pPr>
        <w:spacing w:before="72" w:after="144"/>
        <w:ind w:left="142" w:right="49" w:hanging="142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 w:rsidRPr="000D4A7D">
        <w:rPr>
          <w:rFonts w:asciiTheme="minorHAnsi" w:hAnsiTheme="minorHAnsi" w:cs="Arial"/>
          <w:b/>
          <w:color w:val="000000"/>
          <w:sz w:val="22"/>
          <w:szCs w:val="22"/>
        </w:rPr>
        <w:t>Količine stavki su OKVIRNE, a konačne količine i vrijednost radova utvrditi će se na osnovu stvarno izvedenih radova.</w:t>
      </w:r>
    </w:p>
    <w:p w:rsidR="00316B19" w:rsidRDefault="00316B19" w:rsidP="00316B19">
      <w:pPr>
        <w:spacing w:before="72" w:after="144"/>
        <w:ind w:left="142" w:right="49" w:hanging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- </w:t>
      </w:r>
      <w:r w:rsidRPr="00316B19">
        <w:rPr>
          <w:rFonts w:asciiTheme="minorHAnsi" w:hAnsiTheme="minorHAnsi" w:cs="Arial"/>
          <w:color w:val="000000"/>
          <w:sz w:val="22"/>
          <w:szCs w:val="22"/>
        </w:rPr>
        <w:t>Po</w:t>
      </w:r>
      <w:r>
        <w:rPr>
          <w:rFonts w:asciiTheme="minorHAnsi" w:hAnsiTheme="minorHAnsi" w:cs="Arial"/>
          <w:color w:val="000000"/>
          <w:sz w:val="22"/>
          <w:szCs w:val="22"/>
        </w:rPr>
        <w:t>nuditelj je dužan upoznati se s ponudbenom dokumentacijom i stavkama troškovnika,</w:t>
      </w:r>
      <w:r w:rsidRPr="00316B19">
        <w:rPr>
          <w:rFonts w:asciiTheme="minorHAnsi" w:hAnsiTheme="minorHAnsi" w:cs="Arial"/>
          <w:color w:val="000000"/>
          <w:sz w:val="22"/>
          <w:szCs w:val="22"/>
        </w:rPr>
        <w:t xml:space="preserve"> te izvršiti pregled lokac</w:t>
      </w:r>
      <w:r>
        <w:rPr>
          <w:rFonts w:asciiTheme="minorHAnsi" w:hAnsiTheme="minorHAnsi" w:cs="Arial"/>
          <w:color w:val="000000"/>
          <w:sz w:val="22"/>
          <w:szCs w:val="22"/>
        </w:rPr>
        <w:t>ije</w:t>
      </w:r>
      <w:r w:rsidRPr="00316B19">
        <w:rPr>
          <w:rFonts w:asciiTheme="minorHAnsi" w:hAnsiTheme="minorHAnsi" w:cs="Arial"/>
          <w:color w:val="000000"/>
          <w:sz w:val="22"/>
          <w:szCs w:val="22"/>
        </w:rPr>
        <w:t xml:space="preserve"> izvedbe radova, kako bi ponuda uključivala sve troškove za izvedbu radova. Ukoliko se u ponudbenoj dokumentaciji utvrdi eventualna nepravilnost, nepotpunost ili neja</w:t>
      </w:r>
      <w:r>
        <w:rPr>
          <w:rFonts w:asciiTheme="minorHAnsi" w:hAnsiTheme="minorHAnsi" w:cs="Arial"/>
          <w:color w:val="000000"/>
          <w:sz w:val="22"/>
          <w:szCs w:val="22"/>
        </w:rPr>
        <w:t>snoća u opisu određene stavke, P</w:t>
      </w:r>
      <w:r w:rsidRPr="00316B19">
        <w:rPr>
          <w:rFonts w:asciiTheme="minorHAnsi" w:hAnsiTheme="minorHAnsi" w:cs="Arial"/>
          <w:color w:val="000000"/>
          <w:sz w:val="22"/>
          <w:szCs w:val="22"/>
        </w:rPr>
        <w:t xml:space="preserve">onuditelj je prije predaje ponude dužan pisanim putem kontaktirati </w:t>
      </w:r>
      <w:r>
        <w:rPr>
          <w:rFonts w:asciiTheme="minorHAnsi" w:hAnsiTheme="minorHAnsi" w:cs="Arial"/>
          <w:color w:val="000000"/>
          <w:sz w:val="22"/>
          <w:szCs w:val="22"/>
        </w:rPr>
        <w:t>Naručitelja za po</w:t>
      </w:r>
      <w:r w:rsidRPr="00316B19">
        <w:rPr>
          <w:rFonts w:asciiTheme="minorHAnsi" w:hAnsiTheme="minorHAnsi" w:cs="Arial"/>
          <w:color w:val="000000"/>
          <w:sz w:val="22"/>
          <w:szCs w:val="22"/>
        </w:rPr>
        <w:t xml:space="preserve">jašnjenja. </w:t>
      </w:r>
      <w:r w:rsidRPr="002337EA">
        <w:rPr>
          <w:rFonts w:asciiTheme="minorHAnsi" w:hAnsiTheme="minorHAnsi" w:cs="Arial"/>
          <w:sz w:val="22"/>
          <w:szCs w:val="22"/>
        </w:rPr>
        <w:t>Nakon pred</w:t>
      </w:r>
      <w:r>
        <w:rPr>
          <w:rFonts w:asciiTheme="minorHAnsi" w:hAnsiTheme="minorHAnsi" w:cs="Arial"/>
          <w:sz w:val="22"/>
          <w:szCs w:val="22"/>
        </w:rPr>
        <w:t>aje ponude naknadne korekcije</w:t>
      </w:r>
      <w:r w:rsidRPr="002337EA">
        <w:rPr>
          <w:rFonts w:asciiTheme="minorHAnsi" w:hAnsiTheme="minorHAnsi" w:cs="Arial"/>
          <w:sz w:val="22"/>
          <w:szCs w:val="22"/>
        </w:rPr>
        <w:t xml:space="preserve"> neće </w:t>
      </w:r>
      <w:r>
        <w:rPr>
          <w:rFonts w:asciiTheme="minorHAnsi" w:hAnsiTheme="minorHAnsi" w:cs="Arial"/>
          <w:sz w:val="22"/>
          <w:szCs w:val="22"/>
        </w:rPr>
        <w:t>se priznavati.</w:t>
      </w:r>
    </w:p>
    <w:p w:rsidR="000D4A7D" w:rsidRDefault="00316B19" w:rsidP="00316B19">
      <w:pPr>
        <w:spacing w:before="72" w:after="144"/>
        <w:ind w:left="142" w:right="49" w:hanging="142"/>
        <w:jc w:val="both"/>
        <w:rPr>
          <w:rFonts w:asciiTheme="minorHAnsi" w:hAnsiTheme="minorHAnsi" w:cs="Arial"/>
          <w:sz w:val="22"/>
          <w:szCs w:val="22"/>
        </w:rPr>
      </w:pPr>
      <w:r w:rsidRPr="00316B19">
        <w:rPr>
          <w:rFonts w:asciiTheme="minorHAnsi" w:hAnsiTheme="minorHAnsi" w:cs="Arial"/>
          <w:sz w:val="22"/>
          <w:szCs w:val="22"/>
        </w:rPr>
        <w:t xml:space="preserve">- Jedinične cijene obuhvaćaju </w:t>
      </w:r>
      <w:r w:rsidR="000D4A7D" w:rsidRPr="000D4A7D">
        <w:rPr>
          <w:rFonts w:asciiTheme="minorHAnsi" w:hAnsiTheme="minorHAnsi" w:cs="Arial"/>
          <w:sz w:val="22"/>
          <w:szCs w:val="22"/>
        </w:rPr>
        <w:t>sve nabave, transporte i ugradnje materijala, sav potreban rad, opremu, materijal, pomoćne i prethodne radnje uključivo čišćenja tijekom i nakon dovršetka radova, režiju gradilišta i uprave, sva davanja, cestarine i sl. te zaradu, a sve do potpune funkcionalne gotovosti pojedine stavke - ako opisom stavke nije drugačije određeno.</w:t>
      </w:r>
    </w:p>
    <w:p w:rsidR="00316B19" w:rsidRDefault="00316B19" w:rsidP="000D4A7D">
      <w:pPr>
        <w:spacing w:before="72" w:after="144"/>
        <w:ind w:right="49"/>
        <w:jc w:val="both"/>
        <w:rPr>
          <w:rFonts w:asciiTheme="minorHAnsi" w:hAnsiTheme="minorHAnsi" w:cs="Arial"/>
          <w:sz w:val="22"/>
          <w:szCs w:val="22"/>
        </w:rPr>
      </w:pPr>
    </w:p>
    <w:p w:rsidR="00316B19" w:rsidRDefault="00316B19" w:rsidP="00316B19">
      <w:pPr>
        <w:spacing w:before="72" w:after="144"/>
        <w:ind w:left="142" w:right="49" w:hanging="142"/>
        <w:jc w:val="both"/>
        <w:rPr>
          <w:rFonts w:asciiTheme="minorHAnsi" w:hAnsiTheme="minorHAnsi" w:cs="Arial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18"/>
          <w:sz w:val="22"/>
          <w:szCs w:val="22"/>
        </w:rPr>
      </w:pPr>
    </w:p>
    <w:p w:rsidR="00BE7E3D" w:rsidRPr="00F14618" w:rsidRDefault="00BE7E3D" w:rsidP="00BE7E3D">
      <w:pPr>
        <w:spacing w:before="72"/>
        <w:ind w:right="49"/>
        <w:jc w:val="both"/>
        <w:rPr>
          <w:rFonts w:asciiTheme="minorHAnsi" w:hAnsiTheme="minorHAnsi" w:cs="Arial"/>
          <w:color w:val="000000"/>
          <w:spacing w:val="5"/>
          <w:sz w:val="22"/>
          <w:szCs w:val="22"/>
        </w:rPr>
      </w:pPr>
    </w:p>
    <w:tbl>
      <w:tblPr>
        <w:tblW w:w="9128" w:type="dxa"/>
        <w:tblInd w:w="-130" w:type="dxa"/>
        <w:tblLook w:val="04A0" w:firstRow="1" w:lastRow="0" w:firstColumn="1" w:lastColumn="0" w:noHBand="0" w:noVBand="1"/>
      </w:tblPr>
      <w:tblGrid>
        <w:gridCol w:w="727"/>
        <w:gridCol w:w="3869"/>
        <w:gridCol w:w="927"/>
        <w:gridCol w:w="912"/>
        <w:gridCol w:w="1134"/>
        <w:gridCol w:w="1559"/>
      </w:tblGrid>
      <w:tr w:rsidR="00BE7E3D" w:rsidRPr="00F14618" w:rsidTr="002405C2">
        <w:trPr>
          <w:trHeight w:val="63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E7E3D" w:rsidRPr="00F14618" w:rsidRDefault="00BE7E3D" w:rsidP="00413CE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lastRenderedPageBreak/>
              <w:t>Redni broj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7E3D" w:rsidRPr="00F14618" w:rsidRDefault="00BE7E3D" w:rsidP="002405C2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E7E3D" w:rsidRPr="00F14618" w:rsidRDefault="00BE7E3D" w:rsidP="002405C2">
            <w:pPr>
              <w:spacing w:after="0"/>
              <w:ind w:left="-189" w:right="-92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Jedinica mjere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E7E3D" w:rsidRPr="00F14618" w:rsidRDefault="00BE7E3D" w:rsidP="00413CE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BE7E3D" w:rsidRPr="00F14618" w:rsidRDefault="00BE7E3D" w:rsidP="002405C2">
            <w:pPr>
              <w:spacing w:after="0"/>
              <w:ind w:left="-108" w:right="-108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Jedinična cijena (Kn)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E7E3D" w:rsidRPr="00F14618" w:rsidRDefault="00BE7E3D" w:rsidP="00413CE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Ukupno (Kn)</w:t>
            </w:r>
          </w:p>
        </w:tc>
      </w:tr>
      <w:tr w:rsidR="00BE7E3D" w:rsidRPr="00F14618" w:rsidTr="002405C2">
        <w:trPr>
          <w:trHeight w:val="900"/>
        </w:trPr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7E3D" w:rsidRPr="00F14618" w:rsidRDefault="00BE7E3D" w:rsidP="00413CEE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7E3D" w:rsidRDefault="005021CE" w:rsidP="002405C2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Limarski</w:t>
            </w:r>
            <w:r w:rsidR="00BE7E3D"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radovi</w:t>
            </w:r>
            <w:r w:rsidR="00316B1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na demontaži i montaži limenih elemenata </w:t>
            </w:r>
            <w:r w:rsidR="00F93D6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krovišta iznad blagovaonice</w:t>
            </w:r>
            <w:r w:rsidR="00316B1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, koji se sastoje</w:t>
            </w:r>
            <w:r w:rsidR="00BE7E3D"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od</w:t>
            </w:r>
            <w:r w:rsidR="00316B1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vizualnog pregleda, </w:t>
            </w:r>
            <w:r w:rsidR="00F93D6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skidanja </w:t>
            </w:r>
            <w:r w:rsidR="00191EE3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pokrova s </w:t>
            </w:r>
            <w:r w:rsidR="00F93D6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južne površine dijela krovišt</w:t>
            </w:r>
            <w:r w:rsidR="00EA7A8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a iznad blagovaonice, te povrata </w:t>
            </w:r>
            <w:r w:rsidR="00F93D6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nakon pregleda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.</w:t>
            </w:r>
            <w:r w:rsidR="00191EE3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</w:p>
          <w:p w:rsidR="009057B8" w:rsidRDefault="009057B8" w:rsidP="009057B8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Po potrebi izvršiti i demontažu donjih slojeva (parna brana, </w:t>
            </w:r>
            <w:r w:rsidR="00DF243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mineralna vuna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) prema nalogu Odgovorne osobe i Projektanta, ukoliko je to neophodno za uvid u stanje krovišta. </w:t>
            </w:r>
            <w:r w:rsid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Pri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ponovnoj </w:t>
            </w:r>
            <w:r w:rsid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montaži paziti da se limovi montiraju na istu poziciju kako bi se poklopile postojeće rupe u limu, a vijke </w:t>
            </w:r>
            <w:r w:rsidR="00C31F52" w:rsidRP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ukoliko su oštećeni, i</w:t>
            </w:r>
            <w:r w:rsid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li nedostaju brtve, potrebno </w:t>
            </w:r>
            <w:r w:rsidR="00C31F52" w:rsidRP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je zamijeniti odgovarajućim novim.</w:t>
            </w:r>
            <w:r w:rsidR="00C31F52">
              <w:t xml:space="preserve"> </w:t>
            </w:r>
          </w:p>
          <w:p w:rsidR="00C31F52" w:rsidRDefault="009057B8" w:rsidP="002405C2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Stavkom je</w:t>
            </w:r>
            <w:r w:rsid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obuhva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ćena</w:t>
            </w:r>
            <w:r w:rsid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i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sanacija</w:t>
            </w:r>
            <w:r w:rsid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eventua</w:t>
            </w:r>
            <w:r w:rsidR="00C31F52" w:rsidRP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ln</w:t>
            </w:r>
            <w:r w:rsid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ih manjih oštećenja na limenim oblogama i prema potrebi brtvljenje spojeva lima, te spoja</w:t>
            </w:r>
            <w:r w:rsidR="00C31F52"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  <w:r w:rsid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između limova i kanala horizontalne</w:t>
            </w:r>
            <w:r w:rsidR="00C31F52"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odvodnje</w:t>
            </w:r>
            <w:r w:rsidR="00C31F5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.</w:t>
            </w:r>
          </w:p>
          <w:p w:rsidR="00BE7E3D" w:rsidRPr="00F14618" w:rsidRDefault="00F93D6B" w:rsidP="002405C2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93D6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Obračun po m</w:t>
            </w:r>
            <w:r w:rsidRPr="005516E5">
              <w:rPr>
                <w:rFonts w:asciiTheme="minorHAnsi" w:hAnsiTheme="minorHAnsi"/>
                <w:color w:val="000000"/>
                <w:sz w:val="22"/>
                <w:szCs w:val="22"/>
                <w:vertAlign w:val="superscript"/>
                <w:lang w:eastAsia="hr-HR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krova</w:t>
            </w:r>
            <w:r w:rsidR="005516E5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3D" w:rsidRPr="00F14618" w:rsidRDefault="00F93D6B" w:rsidP="00C31F52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m</w:t>
            </w:r>
            <w:r w:rsidRPr="005516E5">
              <w:rPr>
                <w:rFonts w:asciiTheme="minorHAnsi" w:hAnsiTheme="minorHAnsi"/>
                <w:color w:val="000000"/>
                <w:sz w:val="22"/>
                <w:szCs w:val="22"/>
                <w:vertAlign w:val="superscript"/>
                <w:lang w:eastAsia="hr-HR"/>
              </w:rPr>
              <w:t>2</w:t>
            </w:r>
          </w:p>
        </w:tc>
        <w:tc>
          <w:tcPr>
            <w:tcW w:w="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3D" w:rsidRPr="00F14618" w:rsidRDefault="00F93D6B" w:rsidP="002405C2">
            <w:pPr>
              <w:spacing w:after="0"/>
              <w:ind w:left="-124" w:right="-108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30</w:t>
            </w:r>
            <w:r w:rsidR="005B47C6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3D" w:rsidRPr="00F14618" w:rsidRDefault="00BE7E3D" w:rsidP="00413CEE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3D" w:rsidRPr="00F14618" w:rsidRDefault="00BE7E3D" w:rsidP="00413CEE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BE7E3D" w:rsidRPr="00F14618" w:rsidTr="002405C2">
        <w:trPr>
          <w:trHeight w:val="1800"/>
        </w:trPr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E7E3D" w:rsidRPr="00F14618" w:rsidRDefault="002405C2" w:rsidP="002405C2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516E5" w:rsidRDefault="005516E5" w:rsidP="002405C2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Uklanjanje</w:t>
            </w:r>
            <w:r w:rsidRPr="00F93D6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  <w:proofErr w:type="spellStart"/>
            <w:r w:rsidRPr="00F93D6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gips</w:t>
            </w:r>
            <w:r w:rsidR="00FC7E60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kartonskih</w:t>
            </w:r>
            <w:proofErr w:type="spellEnd"/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  <w:r w:rsidR="00FC7E60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ploča </w:t>
            </w:r>
            <w:bookmarkStart w:id="0" w:name="_GoBack"/>
            <w:bookmarkEnd w:id="0"/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obloge </w:t>
            </w:r>
            <w:r w:rsidRPr="005516E5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s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greda i stropa unutar blagovaonice s </w:t>
            </w:r>
            <w:r w:rsidRPr="005516E5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površina gdje su uništene, ili je to neophodno radi omogućavanja vizualnog uvida u krovište i razloge prodora vode.</w:t>
            </w:r>
            <w:r w:rsidRPr="00F93D6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</w:p>
          <w:p w:rsidR="005516E5" w:rsidRDefault="005516E5" w:rsidP="002405C2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Radove je potrebno izvesti tako da </w:t>
            </w:r>
            <w:r w:rsidR="00DF243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nosiva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konstrukcija </w:t>
            </w:r>
            <w:r w:rsidR="00DF243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obloge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ostane neoštećena, a</w:t>
            </w:r>
            <w:r w:rsidR="002405C2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izvode se prema nalogu Odgovorne osobe Naručitelja.</w:t>
            </w:r>
          </w:p>
          <w:p w:rsidR="00BE7E3D" w:rsidRPr="00F14618" w:rsidRDefault="005516E5" w:rsidP="002405C2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93D6B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Obračun po m</w:t>
            </w:r>
            <w:r w:rsidRPr="005516E5">
              <w:rPr>
                <w:rFonts w:asciiTheme="minorHAnsi" w:hAnsiTheme="minorHAnsi"/>
                <w:color w:val="000000"/>
                <w:sz w:val="22"/>
                <w:szCs w:val="22"/>
                <w:vertAlign w:val="superscript"/>
                <w:lang w:eastAsia="hr-HR"/>
              </w:rPr>
              <w:t>2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 xml:space="preserve"> obloge.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3D" w:rsidRPr="00F14618" w:rsidRDefault="005516E5" w:rsidP="005516E5">
            <w:pPr>
              <w:spacing w:after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m</w:t>
            </w:r>
            <w:r w:rsidRPr="005516E5">
              <w:rPr>
                <w:rFonts w:asciiTheme="minorHAnsi" w:hAnsiTheme="minorHAnsi"/>
                <w:color w:val="000000"/>
                <w:sz w:val="22"/>
                <w:szCs w:val="22"/>
                <w:vertAlign w:val="superscript"/>
                <w:lang w:eastAsia="hr-HR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3D" w:rsidRPr="00F14618" w:rsidRDefault="00BE7E3D" w:rsidP="00413CEE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  <w:r w:rsidR="005516E5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7E3D" w:rsidRPr="00F14618" w:rsidRDefault="00BE7E3D" w:rsidP="00413CEE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7E3D" w:rsidRPr="00F14618" w:rsidRDefault="00BE7E3D" w:rsidP="00413CEE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14618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2405C2" w:rsidRPr="00F14618" w:rsidTr="002405C2">
        <w:trPr>
          <w:trHeight w:val="414"/>
        </w:trPr>
        <w:tc>
          <w:tcPr>
            <w:tcW w:w="756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05C2" w:rsidRPr="002405C2" w:rsidRDefault="002405C2" w:rsidP="002405C2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  <w:lang w:eastAsia="hr-HR"/>
              </w:rPr>
            </w:pPr>
            <w:r w:rsidRPr="002405C2">
              <w:rPr>
                <w:rFonts w:asciiTheme="minorHAnsi" w:hAnsiTheme="minorHAnsi"/>
                <w:b/>
                <w:color w:val="000000"/>
                <w:sz w:val="22"/>
                <w:szCs w:val="22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05C2" w:rsidRPr="00F14618" w:rsidRDefault="002405C2" w:rsidP="00413CEE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</w:p>
        </w:tc>
      </w:tr>
      <w:tr w:rsidR="002405C2" w:rsidRPr="00F14618" w:rsidTr="002405C2">
        <w:trPr>
          <w:trHeight w:val="408"/>
        </w:trPr>
        <w:tc>
          <w:tcPr>
            <w:tcW w:w="756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05C2" w:rsidRPr="002405C2" w:rsidRDefault="002405C2" w:rsidP="002405C2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  <w:lang w:eastAsia="hr-HR"/>
              </w:rPr>
            </w:pPr>
            <w:r w:rsidRPr="002405C2">
              <w:rPr>
                <w:rFonts w:asciiTheme="minorHAnsi" w:hAnsiTheme="minorHAnsi"/>
                <w:b/>
                <w:color w:val="000000"/>
                <w:sz w:val="22"/>
                <w:szCs w:val="22"/>
                <w:lang w:eastAsia="hr-HR"/>
              </w:rPr>
              <w:t>PDV 25%: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05C2" w:rsidRPr="00F14618" w:rsidRDefault="002405C2" w:rsidP="00413CEE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</w:p>
        </w:tc>
      </w:tr>
      <w:tr w:rsidR="002405C2" w:rsidRPr="00F14618" w:rsidTr="002405C2">
        <w:trPr>
          <w:trHeight w:val="402"/>
        </w:trPr>
        <w:tc>
          <w:tcPr>
            <w:tcW w:w="756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405C2" w:rsidRPr="002405C2" w:rsidRDefault="002405C2" w:rsidP="002405C2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  <w:lang w:eastAsia="hr-HR"/>
              </w:rPr>
            </w:pPr>
            <w:r w:rsidRPr="002405C2">
              <w:rPr>
                <w:rFonts w:asciiTheme="minorHAnsi" w:hAnsiTheme="minorHAnsi"/>
                <w:b/>
                <w:color w:val="000000"/>
                <w:sz w:val="22"/>
                <w:szCs w:val="22"/>
                <w:lang w:eastAsia="hr-HR"/>
              </w:rPr>
              <w:t>SVEUKUPNO: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405C2" w:rsidRPr="00F14618" w:rsidRDefault="002405C2" w:rsidP="00413CEE">
            <w:pPr>
              <w:spacing w:after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</w:p>
        </w:tc>
      </w:tr>
    </w:tbl>
    <w:p w:rsidR="00777395" w:rsidRDefault="00777395" w:rsidP="002405C2">
      <w:pPr>
        <w:spacing w:before="240"/>
      </w:pPr>
    </w:p>
    <w:p w:rsidR="002405C2" w:rsidRDefault="002405C2" w:rsidP="00777395">
      <w:pPr>
        <w:rPr>
          <w:rFonts w:asciiTheme="minorHAnsi" w:eastAsiaTheme="minorHAnsi" w:hAnsiTheme="minorHAnsi" w:cstheme="minorBidi"/>
          <w:sz w:val="22"/>
          <w:szCs w:val="22"/>
        </w:rPr>
      </w:pPr>
      <w:r>
        <w:fldChar w:fldCharType="begin"/>
      </w:r>
      <w:r>
        <w:instrText xml:space="preserve"> LINK </w:instrText>
      </w:r>
      <w:r w:rsidR="00FC7E60">
        <w:instrText xml:space="preserve">Excel.Sheet.8 "C:\\Users\\iivanusic\\Desktop\\DOKUM.-NAB\\NARUDŽBENICE\\Popravak stropova u garaži teret.vozila TJO Kutina, 05., 08. i 10.2021\\10.2021-Ponovlj\\Nab-GOT.,05.10.2021\\TROŠKOVNIK +Skica i Foto-dokumentacija.xls" Troškovnik!R19C2:R23C5 </w:instrText>
      </w:r>
      <w:r>
        <w:instrText xml:space="preserve">\a \f 4 \h </w:instrText>
      </w:r>
      <w:r>
        <w:fldChar w:fldCharType="separate"/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6080"/>
        <w:gridCol w:w="920"/>
        <w:gridCol w:w="880"/>
        <w:gridCol w:w="1220"/>
      </w:tblGrid>
      <w:tr w:rsidR="002405C2" w:rsidRPr="002405C2" w:rsidTr="002405C2">
        <w:trPr>
          <w:trHeight w:val="39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5C2" w:rsidRPr="002405C2" w:rsidRDefault="002405C2" w:rsidP="002405C2">
            <w:pPr>
              <w:spacing w:after="0"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 w:rsidRPr="002405C2">
              <w:rPr>
                <w:rFonts w:ascii="Calibri" w:hAnsi="Calibri" w:cs="Calibri"/>
                <w:sz w:val="22"/>
                <w:szCs w:val="22"/>
                <w:lang w:eastAsia="hr-HR"/>
              </w:rPr>
              <w:t>Ponuditelj: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 w:rsidRPr="002405C2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 w:rsidRPr="002405C2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 w:rsidRPr="002405C2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</w:tr>
      <w:tr w:rsidR="002405C2" w:rsidRPr="002405C2" w:rsidTr="002405C2">
        <w:trPr>
          <w:trHeight w:val="39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C2" w:rsidRPr="002405C2" w:rsidRDefault="002405C2" w:rsidP="002405C2">
            <w:pPr>
              <w:spacing w:after="0"/>
              <w:ind w:firstLineChars="100" w:firstLine="200"/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2405C2" w:rsidRPr="002405C2" w:rsidTr="002405C2">
        <w:trPr>
          <w:trHeight w:val="39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5C2" w:rsidRPr="002405C2" w:rsidRDefault="002405C2" w:rsidP="002405C2">
            <w:pPr>
              <w:spacing w:after="0"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 w:rsidRPr="002405C2">
              <w:rPr>
                <w:rFonts w:ascii="Calibri" w:hAnsi="Calibri" w:cs="Calibri"/>
                <w:sz w:val="22"/>
                <w:szCs w:val="22"/>
                <w:lang w:eastAsia="hr-HR"/>
              </w:rPr>
              <w:t>Potpis: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 w:rsidRPr="002405C2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 w:rsidRPr="002405C2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 w:rsidRPr="002405C2">
              <w:rPr>
                <w:rFonts w:ascii="Calibri" w:hAnsi="Calibri" w:cs="Calibri"/>
                <w:sz w:val="22"/>
                <w:szCs w:val="22"/>
                <w:lang w:eastAsia="hr-HR"/>
              </w:rPr>
              <w:t> </w:t>
            </w:r>
          </w:p>
        </w:tc>
      </w:tr>
      <w:tr w:rsidR="002405C2" w:rsidRPr="002405C2" w:rsidTr="002405C2">
        <w:trPr>
          <w:trHeight w:val="39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C2" w:rsidRPr="002405C2" w:rsidRDefault="002405C2" w:rsidP="002405C2">
            <w:pPr>
              <w:spacing w:after="0"/>
              <w:ind w:firstLineChars="100" w:firstLine="200"/>
              <w:jc w:val="right"/>
              <w:rPr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</w:p>
        </w:tc>
      </w:tr>
      <w:tr w:rsidR="002405C2" w:rsidRPr="002405C2" w:rsidTr="002405C2">
        <w:trPr>
          <w:trHeight w:val="39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05C2" w:rsidRPr="002405C2" w:rsidRDefault="002405C2" w:rsidP="002405C2">
            <w:pPr>
              <w:spacing w:after="0"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 w:rsidRPr="002405C2">
              <w:rPr>
                <w:rFonts w:ascii="Calibri" w:hAnsi="Calibri" w:cs="Calibri"/>
                <w:sz w:val="22"/>
                <w:szCs w:val="22"/>
                <w:lang w:eastAsia="hr-HR"/>
              </w:rPr>
              <w:t>Pečat: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05C2" w:rsidRPr="002405C2" w:rsidRDefault="002405C2" w:rsidP="002405C2">
            <w:pPr>
              <w:spacing w:after="0"/>
              <w:ind w:firstLineChars="100" w:firstLine="220"/>
              <w:jc w:val="right"/>
              <w:rPr>
                <w:rFonts w:ascii="Calibri" w:hAnsi="Calibri" w:cs="Calibri"/>
                <w:sz w:val="22"/>
                <w:szCs w:val="22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05C2" w:rsidRPr="002405C2" w:rsidRDefault="002405C2" w:rsidP="002405C2">
            <w:pPr>
              <w:spacing w:after="0"/>
              <w:jc w:val="center"/>
              <w:rPr>
                <w:sz w:val="20"/>
                <w:szCs w:val="20"/>
                <w:lang w:eastAsia="hr-HR"/>
              </w:rPr>
            </w:pPr>
          </w:p>
        </w:tc>
      </w:tr>
    </w:tbl>
    <w:p w:rsidR="002405C2" w:rsidRPr="00F14618" w:rsidRDefault="002405C2" w:rsidP="002405C2">
      <w:pPr>
        <w:ind w:left="-142"/>
        <w:rPr>
          <w:rFonts w:asciiTheme="minorHAnsi" w:hAnsiTheme="minorHAnsi"/>
        </w:rPr>
      </w:pPr>
      <w:r>
        <w:rPr>
          <w:rFonts w:asciiTheme="minorHAnsi" w:hAnsiTheme="minorHAnsi"/>
        </w:rPr>
        <w:fldChar w:fldCharType="end"/>
      </w:r>
    </w:p>
    <w:sectPr w:rsidR="002405C2" w:rsidRPr="00F14618" w:rsidSect="006B6F30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F05"/>
    <w:multiLevelType w:val="multilevel"/>
    <w:tmpl w:val="EE6AF4A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i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E2502"/>
    <w:multiLevelType w:val="hybridMultilevel"/>
    <w:tmpl w:val="71425CA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117A"/>
    <w:multiLevelType w:val="hybridMultilevel"/>
    <w:tmpl w:val="42228EB0"/>
    <w:lvl w:ilvl="0" w:tplc="9DE61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752731"/>
    <w:multiLevelType w:val="hybridMultilevel"/>
    <w:tmpl w:val="9266B8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47"/>
    <w:rsid w:val="000D4A7D"/>
    <w:rsid w:val="000E44E3"/>
    <w:rsid w:val="00107D4A"/>
    <w:rsid w:val="001256D5"/>
    <w:rsid w:val="00191EE3"/>
    <w:rsid w:val="002405C2"/>
    <w:rsid w:val="00316B19"/>
    <w:rsid w:val="005021CE"/>
    <w:rsid w:val="005516E5"/>
    <w:rsid w:val="005B47C6"/>
    <w:rsid w:val="005D2513"/>
    <w:rsid w:val="006B6F30"/>
    <w:rsid w:val="00741856"/>
    <w:rsid w:val="00777395"/>
    <w:rsid w:val="009057B8"/>
    <w:rsid w:val="00927C6F"/>
    <w:rsid w:val="00BE7E3D"/>
    <w:rsid w:val="00C31F52"/>
    <w:rsid w:val="00C76F0A"/>
    <w:rsid w:val="00DD289F"/>
    <w:rsid w:val="00DE3FEC"/>
    <w:rsid w:val="00DF243B"/>
    <w:rsid w:val="00EA7A82"/>
    <w:rsid w:val="00EF10F9"/>
    <w:rsid w:val="00F14618"/>
    <w:rsid w:val="00F33584"/>
    <w:rsid w:val="00F511C1"/>
    <w:rsid w:val="00F93D6B"/>
    <w:rsid w:val="00F96347"/>
    <w:rsid w:val="00FC7E60"/>
    <w:rsid w:val="00F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F332C-F8FA-475E-AF08-DBE58FA5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0F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0F9"/>
    <w:pPr>
      <w:ind w:left="720"/>
      <w:contextualSpacing/>
    </w:pPr>
  </w:style>
  <w:style w:type="character" w:styleId="Hyperlink">
    <w:name w:val="Hyperlink"/>
    <w:basedOn w:val="DefaultParagraphFont"/>
    <w:unhideWhenUsed/>
    <w:rsid w:val="00EF1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C74B-0421-40BF-82E8-FA1C07E2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Balažić</dc:creator>
  <cp:keywords/>
  <dc:description/>
  <cp:lastModifiedBy>Ivan Ivanušić</cp:lastModifiedBy>
  <cp:revision>21</cp:revision>
  <dcterms:created xsi:type="dcterms:W3CDTF">2021-08-26T10:33:00Z</dcterms:created>
  <dcterms:modified xsi:type="dcterms:W3CDTF">2021-10-15T11:35:00Z</dcterms:modified>
</cp:coreProperties>
</file>